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2010/467 vom 20. November 2012</w:t>
      </w:r>
    </w:p>
    <w:p>
      <w:r>
        <w:t>Sg Versicherungsgericht, 2012-11-20, DE</w:t>
      </w:r>
    </w:p>
    <w:p>
      <w:r>
        <w:rPr>
          <w:b/>
        </w:rPr>
        <w:t xml:space="preserve">Quelle: </w:t>
      </w:r>
      <w:r>
        <w:t>https://mcp.opencaselaw.ch/entscheid/sg_publikationen_IV 2010_467</w:t>
      </w:r>
    </w:p>
    <w:p>
      <w:r>
        <w:t>FR: SG_VERSICHERUNGSGERICHT IV 2010/467 du 20 novembre 2012</w:t>
      </w:r>
    </w:p>
    <w:p>
      <w:r>
        <w:t>IT: SG_VERSICHERUNGSGERICHT IV 2010/467 del 20 novembre 2012</w:t>
      </w:r>
    </w:p>
    <w:p>
      <w:pPr>
        <w:pStyle w:val="Heading2"/>
      </w:pPr>
      <w:r>
        <w:t>Regeste</w:t>
      </w:r>
    </w:p>
    <w:p>
      <w:r>
        <w:t>Art. 16 ATSG. Art. 28 IVG. Würdigung eines MEDAS-Gutachtens. Gutachten beweistauglich. Ermittlung der Vergleichseinkommen. Bemessung des Invaliditätsgrades (Entscheid des Versicherungsgerichts des Kantons St. Gallen vom 20. November 2012, IV 2010/467).</w:t>
      </w:r>
    </w:p>
    <w:p>
      <w:pPr>
        <w:pStyle w:val="Heading2"/>
      </w:pPr>
      <w:r>
        <w:t>Erwägungen</w:t>
      </w:r>
    </w:p>
    <w:p>
      <w:r>
        <w:rPr>
          <w:b/>
        </w:rPr>
        <w:t>E. 1</w:t>
      </w:r>
    </w:p>
    <w:p>
      <w:r>
        <w:t>Am 1. Januar 2012 sind die im Zug des ersten Teils der 6. Revision revidierten Be­stimmungen des Bundesgesetzes über die Invalidenversicherung (IVG; SR 831.20) und der Verordnung über die Invalidenversicherung (IVV; SR 831.201) in Kraft getreten. In materiell-rechtlicher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18. November 2010 (IV-act. 186-1 ff.) und somit vor Inkrafttreten der 6. IV-Revision erlassen. Gemäss übergangsrechtlichem Grundsatz werden nachfolgend die zum Zeitpunkt des Verfügungserlasses anwendbaren Bestimmungen wiederge­geben. Bezüglich des allfälligen Rentenbeginns sind angesichts der Anmeldung zum Leistungsbezug im August 2005 und des Eintritts der Arbeitsunfähigkeit im August 2004 die vor Inkrafttreten der 5. IV-Revision bis zum 31. Dezember 2007 gültig gewesenen Bestimmungen anzuwenden.</w:t>
      </w:r>
    </w:p>
    <w:p>
      <w:r>
        <w:rPr>
          <w:b/>
        </w:rPr>
        <w:t>E. 2.1</w:t>
      </w:r>
    </w:p>
    <w:p>
      <w:r>
        <w:t>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w:t>
      </w:r>
    </w:p>
    <w:p>
      <w:r>
        <w:rPr>
          <w:b/>
        </w:rPr>
        <w:t>E. 2.2</w:t>
      </w:r>
    </w:p>
    <w:p>
      <w:r>
        <w:t>Grundlage der Bemessung des zumutbaren Invalideneinkommens ist die Arbeitsfähigkeitsschätzung.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3.1</w:t>
      </w:r>
    </w:p>
    <w:p>
      <w:r>
        <w:t>Die Beschwerdegegnerin stützt sich auf die Begutachtung durch die MEDAS Ost­schweiz. Diese hat nach der Untersuchung des Beschwerdeführers im Mai und Juni 2010 am 13. August 2010 als Hauptdiagnosen mit Einschränkung der zumutbaren Arbeitsfähigkeit eine Sarkoidose, radiologisch Stadium II-III bei ED (Erstdiagnose) bronchoskopisch im Oktober 2002, mit aktuell fraglicher Aktivität, bei Lungenfunktions­prüfung am 28. Mai 2010 (mittelschwere obstruktive Ventilationssörung ohne Rever­sibilität unter B2-Stimulation und Bodyplethysmographisch Obstruktion mit relativer Überblähung) und Ergospirometrie am 28. Mai 2010 (erhebliches Leistungsdefizit bei rein subjektiver Limitierung [Dyspnoe, Husten, allgemeine Müdigkeit] sowie chroni­fiziertem unklarer Reizhusten mit psychogener Komponente), körperbezogene Ängste, eine psychovegetative Überreaktion mit mindestens teilweise psychogen bedingtem Husten, eine Versteifung Endphalanx rechter Daumen nach Quetschtrauma ca. 1990 und einen Status nach Arbeitsunfall der rechten Hand vom 15. April 2004 mit trau­matischer Amputation des Kleinfingers mit persistierender Hyperalgesie sowie mit Extensionsdefizit Endphalanx Dig. IV mit persistierender Hyperalgesie genannt. Als Nebendiagnosen ohne wesentliche Einschränkung der Arbeitsfähigkeit nannten die Gutachter einen Status nach Cataractoperationen rechts vom Februar 2007 und links vom Juni 2007 (IV-act. 165-19 f.). Aus pneumologischer Sicht lasse sich aufgrund der aktuellen consiliarischen Untersuchung keine Einschränkung der Arbeitsfähigkeit für leichte körperliche Tätigkeiten unter Mitberücksichtigung der Arbeitsplatzsituation (ohne regelmässige Exposition gegenüber höheren Konzentrationen von atemwegreizenden Stäuben, Dämpfen und Rauch wie gegenüber den angegebenen Duftstoffen und Reinigungsmitteln und gegenüber Kälte) begründen. Aus psychiatrischer Sicht sei auf­grund der körperbezogenen Ängste eine Einschränkung der Arbeitsfähigkeit unter Berücksichtigung erwähnter qualitativer Einschränkungen von 30 % zu begründen wegen mangelnder Ausdauer und der Notwendigkeit vermehrter Pausen bei Ent­wicklung einer leichten Stressintoleranz. Gesamthaft bestehe eine ca. 30 %ige Arbeits­unfähigkeit (ganztags, reduzierte Leistung) für eine adaptierte Erwerbstätigkeit. Für eine adaptierte Tätigkeit seien aus rheumaorthopädischer Sicht qualitative Einschränkungen betreffend die rechte Hand anzugeben: keine feinmotorischen Arbeiten mit dem rechten Ringfinger sowie wegen der praktisch fehlenden Beweglichkeit im Daumenendgelenk keine repetitiven präzisen Arbeiten mit Pinzettengriff (IV-act. 165-27).</w:t>
      </w:r>
    </w:p>
    <w:p>
      <w:r>
        <w:rPr>
          <w:b/>
        </w:rPr>
        <w:t>E. 3.1.1</w:t>
      </w:r>
    </w:p>
    <w:p>
      <w:r>
        <w:t>Dieser zusammenfassenden Einschätzung lagen im Einzelnen insbesondere das pneumologische Consiliargutachten vom 21. Juni 2010 (IV-act. 165-31 ff.) zu­grunde, welches Dr. med. C.___, Facharzt für Pneumologie, im Anschluss an eine zwischen dem 28. Mai und 9. Juni durchgeführten Untersuchung und Befragung des Beschwerdeführers erstellt hatte. Darin wird zur Arbeitsfähigkeit ausgeführt, dass man funktionell eine moderate Einschränkung fände. Ergospirometrisch bestehe zwar ein erhebliches Leistungsdefizit, die Limitierung sei aber rein subjektiv durch Dyspnoe, Husten und allgemeine Müdigkeit gegeben. Objektiv seien weder die Puls- noch die Ventilationsreserve erreicht, man registriere auch keine nennenswerte metabolischen Azidose und insbesondere keine Gasaustauschstörung. Damit könne aus rein isoliert pneumologischer Optik gesagt werden, dass der Beschwerdeführer für leichte körperliche Arbeiten grundsätzlich arbeitsfähig sei. Dies unter der Voraussetzung, dass sich der Verlauf der Sarkoidose in Zukunft nicht akzeleriere. Einschränkend für eine Arbeitsvermittlung sei der massive Reizhusten, welcher aber pneumologisch nicht hinreichend zu erklären und sehr wahrscheinlich von einer gewichtigen funktionellen Komponente überlagert sei (IV-act. 165-33).</w:t>
      </w:r>
    </w:p>
    <w:p>
      <w:r>
        <w:rPr>
          <w:b/>
        </w:rPr>
        <w:t>E. 3.1.2</w:t>
      </w:r>
    </w:p>
    <w:p>
      <w:r>
        <w:t>In psychischer Hinsicht lag der Einschätzung die Untersuchung durch Dr. med. D.___, Eidg. Facharzt FMH für Psychiatrie und Psychotherapie zugrunde. Dieser diagnostizierte im psychiatrischen Consiliargutachten vom 3. Juni 2010 (IV-act. 165-36 ff.) körperbezogene Ängste (ICD-10; F41.8), einhergehend mit Verstimmungen auf dem Boden somatischer Leiden, überwiegender Sarkoidose II und der Neben­wirkungen der deswegen notwendigen Dauerbehandlung. Er führte aus, bei Überan­strengung, sowohl in somatischer als auch in psychischer Hinsicht (Stress), komme es zu einer psychovegetativen Überreaktion, darunter zu einem psychogenen Husten (ICD-10: F45.33), der auch Ausdruck seiner Ängste sei, falls er nicht vollständig durch die Kompromittierung der oberen Luftwege durch die Sarkoidose erklärt werden könne. Aufgrund der körperbezogenen Ängste bestehe aus psychiatrischer Sicht eine Ein­schränkung der Arbeitsfähigkeit bei körperlich adaptierten Tätigkeiten von 30 %: Mangel an Ausdauer, die Notwendigkeit vermehrter Pausen, die Entwicklung einer leichten Stressintoleranz. Ob durch eine psychiatrisch-psychotherapeutische Begleitung die Arbeitsfähigkeit verbessert werden könne, bleibe offen (IV-act. 163-39).</w:t>
      </w:r>
    </w:p>
    <w:p>
      <w:r>
        <w:rPr>
          <w:b/>
        </w:rPr>
        <w:t>E. 3.2</w:t>
      </w:r>
    </w:p>
    <w:p>
      <w:r>
        <w:t>Das Hauptgutachten setzte sich auch mit den abweichenden Diagnosen und Einschätzungen der behandelnden Ärztin Dr. B.___ sowie den Einschätzungen der behandelnden Ärzte, u.a. der Pneumologie des KSSG, in Bezug auf die Auswirkungen der gesundheitlichen Einschränkungen auf die Arbeitsfähigkeit auseinander. Die Gutachter wiesen darauf hin, dass aus rheumaorthopädischer Sicht lediglich die aufgeführten qualitativen Einschränkungen betreffend die rechte Hand anzugeben seien. Die weiteren von Dr. B.___ in deren Bericht vom 17. März 2010 (IV-act. 151-7 f.) auf­geführten, den Bewegungsapparat betreffenden Einschränkungen seien aus rheuma­orthopädischer Sicht nicht zu begründen (IV-act. 165-26). Hinsichtlich der qualitativen Einschränkungen der rechten Hand wird im Gutachten ausgeführt, dass nach einem Quetschtrauma ca. 1990 eine praktische Versteifung der Daumenendphalax rechts bestehe. Nach dem weiteren Arbeitsunfall von 2004 mit traumatischer Amputation des rechten Kleinfingers und Mitverletzung des Ringfingers zeigte dessen Endgelenk ein Extensionsdefizit von etwa 40-50 Grad mit Hyperalgesie im Bereich der Finger­kuppe und eine weitere Hyperalgesie auf Höhe des Grundgelenks des amputierten rechten Kleinfingers, persistierend nach zweimaligen Revisionen (vermutlich wegen eines Neuroms). Eine weitere funktionell weniger bedeutsame Schädigung zeige sich in einer leichten Thenarhypotrophie nach einer Verletzung im Kindesalter. Diesbezüglich seien rein qualitative Einschränkungen für feinmotorische Tätigkeiten betreffend den Daumen und Ringfinger mit entsprechend verminderter Kraftentwicklung anzugeben (IV-act. 165-23 f.). Die Gutachter verwiesen ebenfalls auf die letzten Kontrollen in der Pneumologie des KSSG von Ende 2008, bei welchen festgehalten worden sei, dass wegen des klinischen Verlaufs sowie der Resultate der bronchiolo-alveolären Lavage zu diesem Zeitpunkt keine aktive Sarkoidose mehr hätte nachgewiesen werden können und somit ein diskutierter Behandlungsversuch mit Remicade nicht indiziert sei (IV-act. 165-24, 165-32). Zur Hustenproblematik führten die Gutachter folgendes aus: Sehr auffallend sei der im Vordergrund stehende Reizhusten. Angaben dazu würden sich wie ein roter Faden durch die gesamte Aktenlage ziehen und auch anlässlich der Untersuchungen würde er bei allen drei Gutachtern erwähnt. Mehrmals werde akten­mässig angegeben und anlässlich der Untersuchung bestätigt, dass der Reizhusten nachts deutlich weniger ausgeprägt sei und auch vollständig fehlen könne. Ebenfalls dokumentiert und vom Beschwerdeführer wiederum bestätigt sei seine Erfahrung, dass er während eines dreiwöchigen Ferienaufenthaltes in E.___ 2008 in der zweiten und dritten Woche diesbezüglich praktisch beschwerdefrei gewesen sei, und dass der Reizhusten umgekehrt aber zum Teil auch eine Intensität gezeigt habe, welche eine Kommunikation nahezu verunmöglichte. Im Rahmen der Untersuchung durch den Hauptgutachter habe der Beschwerdeführer während der über einstündigen Anamnese einige Male kurzdauernde Hustenreize gezeigt, sich dadurch in seinem Erzählfluss aber nicht stören lassen und es sei auch keine sichtbare Dyspnoe aufgetreten. Der Charakter des Hustenreizes habe unzweifelhaft aufgrund der Beobachtung einen demonstrativen Charakter. Diesbe­züglich sei auf das psychiatrische Consiliargutachten zu verweisen (IV-act. 165-24 f.). Laut Akten bestehe ebenfalls ein Status nach schädlichem Gebrauch von Tranquilizern (ICD-10: F13.1), welcher sich als nicht mehr aktuell erweise. Auch die rezidivierende depressive Störung, die in den Akten erwähnt werde, könne durch die aktuelle Untersuchung nicht erhärtet werden (IV-act.165-26). Diese Ausführungen der Gutachter zum Gesundheitszustand des Beschwerdeführers erscheinen gut begründet und nachvollziehbar.</w:t>
      </w:r>
    </w:p>
    <w:p>
      <w:r>
        <w:rPr>
          <w:b/>
        </w:rPr>
        <w:t>E. 3.3</w:t>
      </w:r>
    </w:p>
    <w:p>
      <w:r>
        <w:t>Das MEDAS-Gutachten beruht auf eigenständigen interdisziplinären Abklärungen, mithin auf allseitigen Untersuchungen und ist damit für die streitigen Belange um­fassend. Die Beurteilung erfolgte in Kenntnis der Vorakten, und die vom Beschwerde­führer geklagten Beschwerden wurden berücksichtigt. Das Gutachten leuchtet in der Darlegung der medizinischen Zusammenhänge und in der Beurteilung der medizinischen Situation ein. Vor diesem Hintergrund vermögen auch die darin ent­haltenen Schlussfolgerungen zu überzeugen. Für die Bemessung des Invaliditätsgrads ist in erster Linie ausschlaggebend, wie es sich mit der Arbeitsfähigkeit in einer adaptierten Tätigkeit verhält; dazu sind dem MEDAS-Gutachten plausible Angaben zu entnehmen. Das Gutachten erfüllt mithin alle nach der Praxis erforderlichen Kriterien für beweiskräftige Gutachten (vgl. BGE 125 V 352 E. 3a), so dass grundsätzlich darauf abzustellen ist bzw. es für die Bemessung des Invaliditätsgrades beigezogen werden kann. Diese Auffassung vertrat auch der RAD in seiner Stellungnahme vom 18. August 2010 (IV-act. 166-2)</w:t>
      </w:r>
    </w:p>
    <w:p>
      <w:r>
        <w:rPr>
          <w:b/>
        </w:rPr>
        <w:t>E. 3.4</w:t>
      </w:r>
    </w:p>
    <w:p>
      <w:r>
        <w:t>Es ist deshalb zusammenfassend davon auszugehen, dass eine 30 %ige Ein­schränkung der Arbeitsfähigkeit ausgewiesen ist. Auch die Frage nach den zumutbaren Tätigkeiten wurde im Gutachten vom 13. August 2010 hinreichend beantwortet, wird doch ausgeführt, dass leichte körperliche Tätigkeiten, unter Mitberücksichtigung der Arbeitsplatzsituation ohne regelmässige Exposition gegenüber höheren Konzentrationen von atemwegsreizenden Stäuben, Dämpfen und Rauch wie gegenüber den ange­gebenen Duftstoffen und Reinigungsmitteln und gegenüber Kälte, ohne feinmotorische Arbeiten mit dem rechten Ringfinger sowie - wegen der praktisch fehlenden Beweglich­keit im Daumenendgelenk - ohne repetitive präzise Arbeiten mit Pinzettengriff, im Umfang von 70 % zumutbar seien (IV-act. 165-27). Auszugehen ist gemäss dem MEDAS-Gutachten und dem RAD somit insgesamt von einer Arbeitsfähigkeit des Beschwerdeführers von 30 % in einer adaptierten, körperlich leichten Tätigkeit.</w:t>
      </w:r>
    </w:p>
    <w:p>
      <w:r>
        <w:rPr>
          <w:b/>
        </w:rPr>
        <w:t>E. 4.1</w:t>
      </w:r>
    </w:p>
    <w:p>
      <w:r>
        <w:t>Der Eintritt des Versicherungsfalles setzt (in der Regel) kumulativ eine Wartezeit und danach einen rentenbegründenden Invaliditätsgrad voraus. Der Rentenanspruch entsteht - gemäss aArt. 29 Abs. 1 lit. b IVG (in der bis zum 31. Dezember 2007 gültig gewesenen Fassung) - frühestens in dem Zeitpunkt (abgesehen von der hier nicht relevanten lit. a), in dem die versicherte Person während eines Jahres ohne wesent­lichen Unterbruch durchschnittlich mindestens zu 40 % arbeitsunfähig gewesen war. Ein wesentlicher Unterbruch der Arbeitsfähigkeit liegt vor, wenn die versicherte Person an mindestens 30 aufeinanderfolgenden Tagen voll arbeitsfähig war (Art. 29 ter IVV; Ent­scheid des Eidgenössischen Versicherungsgerichts i/S K. vom 26. März 2004, I 19/04). Nach dem Ablauf dieses Wartejahres muss ein Invaliditätsgrad in der für die betreffende Rentenabstufung erforderlichen Mindesthöhe erreicht werden. Aktenkundig ist, dass der Beschwerdeführer in seiner angestammten Tätigkeit als Maschinenführer/Produktions­mitarbeiter seit 1. August 2004 zu 100 % arbeitsunfähig war (IV-act. 12-1, 165-26). Ein Rentenanspruch des Beschwerdeführers entstand damit nach Ablauf des Wartejahres gemäss dem oben Ausgeführten am 1. August 2005.</w:t>
      </w:r>
    </w:p>
    <w:p>
      <w:r>
        <w:rPr>
          <w:b/>
        </w:rPr>
        <w:t>E. 4.2</w:t>
      </w:r>
    </w:p>
    <w:p>
      <w:r>
        <w:t>Für die Ermittlung des Einkommens, welches der Versicherte ohne Invalidität er­zielen könnte (Valideneinkommen), ist entscheidend, was er im Zeitpunkt des frühest­möglichen Rentenbeginns, im vorliegenden Fall am 1. August 2005, nach dem Beweis­grad der überwiegenden Wahrscheinlichkeit als Gesunder tatsächlich verdient hätte (RKUV 1993 Nr. U 168 S. 100 Erw. 3b). Dabei wird in der Regel am zuletzt erzielten, nötigenfalls der Teuerung und der realen Einkommensentwicklung angepassten Ver­dienstangeknüpft, da es empirischer Erfahrung entspricht, dass die bisherige Tätigkeit ohne Gesundheitsschaden fortgesetzt worden wäre. Ausnahmen müssen mit über­wiegender Wahrscheinlichkeit erstellt sein (RKUV 1993 Nr. U 168 S. 101 Erw. 3b). Es rechtfertigt sich daher, für den Einkommensvergleich die Zahlen für das Jahr 2005 heranzuziehen. Das Valideneinkommen im Jahr 2005 inklusiv Teuerung und Reallohn­erhöhung beläuft sich nach dem Gesagten auf Fr. 64'985.20 (Valideneinkommen 2003: Fr. 63'876.-- [IV-act. 5-1], Nominallohnindex Männer 2003: 1958 / 2005: 1992).</w:t>
      </w:r>
    </w:p>
    <w:p>
      <w:r>
        <w:rPr>
          <w:b/>
        </w:rPr>
        <w:t>E. 4.3</w:t>
      </w:r>
    </w:p>
    <w:p>
      <w:r>
        <w:t>Nach Eintritt der gesundheitlichen Beeinträchtigung stehen dem Beschwerdeführer gemäss Begutachtungsergebnis noch verschiedene Hilfstätigkeiten offen. Für die Be­stimmung des Invalideneinkommens ist primär von der beruflich-erwerblichen Situation auszugehen, in welcher die versicherte Person konkret steht. Hat sie nach Eintritt des Gesundheitsschadens keine oder jedenfalls keine ihr an sich zumutbare neue Erwerbstätigkeit aufgenommen, so können nach der Rechtsprechung statistische Werte (Tabellenlöhne) beigezogen werden (BGE 129 V 472 E. 4.2.1, Bundesgerichtsentscheid i/S C. vom 19. Juni 2008, 9C_81/2008). Im Jahr 2005 machte der statistische Durch­schnittslohn für einfache und repetitive Tätigkeiten von Männern Fr. 58'389.-- aus (An­hang 2 der Textausgabe 2010 IVG und ATSG, gestützt auf die Tabelle TA1 der vom Bundesamt für Statistik herausgegebenen Lohnstrukturerhebung).</w:t>
      </w:r>
    </w:p>
    <w:p>
      <w:r>
        <w:rPr>
          <w:b/>
        </w:rPr>
        <w:t>E. 4.4</w:t>
      </w:r>
    </w:p>
    <w:p>
      <w:r>
        <w:t>Bestehen im Einzelfall Anhaltspunkte dafür, dass die versicherte Person ihre gesundheitlich bedingte (Rest-) Arbeitsfähigkeit auf dem allgemeinen Arbeitsmarkt nur mit unterdurchschnittlichem erwerblichem Erfolg verwerten kann, ist ein Abzug von den Tabellenlöhnen vorzunehmen.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(vgl. zum Ganzen: BGE 134 V 322 E. 5.2 und BGE 126 V 75). - Die medizinisch bedingten Einschränkungen des Beschwerdeführers sind bei der Fest­setzung der Arbeitsfähigkeit bereits berücksichtigt worden. Migrationshintergrund und Ausbildungsstand bieten ebenfalls nicht Grund für einen Abzug, weil sie sich auf das Validen- wie auf das Invalideneinkommen gleichermassen auswirken. Vorliegend ist allerdings zu beachten, dass der Beschwerdeführer nur noch körperlich leichte ange­passte Tätigkeiten ausüben kann. Aufgrund der vorliegenden psychischen Störungen, welche einen Mangel an Ausdauer und die Entwicklung einer leichten Stressintoleranz mit sich bringen (IV-act. 165-27), ist der Beschwerdeführer zudem auf besondere Rück­sichtnahme und auf Verständnis seitens des Arbeitgebers und der Arbeitskollegen an­gewiesen. Er kann auch nur an für ihn geeigneten räumlich-klimatischen Arbeitsplätzen eingesetzt werden und ist z.B. für Vertretungen etc. unflexibel. Es ist deshalb damit zu rechnen, dass der Beschwerdeführer im Vergleich zu gesunden Mitbewerbern um eine entsprechende Stelle auf dem Arbeitsmarkt ein geringeres Einkommen erzielen wird. Tabellenlöhne werden bei gesunden Arbeitnehmern erhoben. Insgesamt erscheint ein Tabellenlohnabzug von 15 % angemessen.</w:t>
      </w:r>
    </w:p>
    <w:p>
      <w:r>
        <w:rPr>
          <w:b/>
        </w:rPr>
        <w:t>E. 4.5</w:t>
      </w:r>
    </w:p>
    <w:p>
      <w:r>
        <w:t>Das Durchschnittseinkommen ist mithin auf Fr. 49'630.65 herabzusetzen. Bei einer Arbeitsfähigkeit von 70 % ergibt sich ein zumutbares Invalideneinkommen von Fr. 34'741.45. Der Invaliditätsgrad, wie er sich bei den bis zur Begutachtung vor­liegenden Verhältnissen ergibt, beträgt somit 46.55 %, gerundet 47 %. Da der Inva­liditätsgrad über 40 %, aber unter 50 % liegt, ist der Anspruch auf eine Viertelsrente der Invalidenversicherung gegeben. Die angefochtene Verfügung ist daher nicht zu be­anstanden.</w:t>
      </w:r>
    </w:p>
    <w:p>
      <w:r>
        <w:rPr>
          <w:b/>
        </w:rPr>
        <w:t>E. 5.1</w:t>
      </w:r>
    </w:p>
    <w:p>
      <w:r>
        <w:t>Demnach ist die Beschwerde abzuweisen.</w:t>
      </w:r>
    </w:p>
    <w:p>
      <w:r>
        <w:rPr>
          <w:b/>
        </w:rPr>
        <w:t>E. 5.2</w:t>
      </w:r>
    </w:p>
    <w:p>
      <w:r>
        <w:t>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Nach Art. 95 Abs. 1 VRP hat in Streitigkeiten jener Beteiligte die Kosten zu tragen, dessen Begehren ganz oder teilweise abgewiesen werden. Angesichts des vollen Unterliegens des Be­schwerdeführers rechtfertigt es sich, ihm die Gerichtskosten unter Anrechnung des von ihm in selbiger Höhe geleisteten Kostenvorschusses gesamthaft aufzuerlegen. Demgemäss hat das Versicherungsgericht im Zirkulationsverfahren gemäss Art. 39 VRP entschieden: 1.       Die Beschwerde wird abgewiesen. 2.       Der Beschwerdeführer hat die Gerichtskosten von Fr. 600.-- unter Anrechnung des von ihm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